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§6003. COORDINATION OF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