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6072-C</w:t>
        <w:t xml:space="preserve">.  </w:t>
      </w:r>
      <w:r>
        <w:rPr>
          <w:b/>
        </w:rPr>
        <w:t xml:space="preserve">Limited-purpose aquaculture license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(TEXT EFFECTIVE UNTIL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The license also authorizes unlicensed individuals to assist the license holder in the licensed activities with the written permission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100"/>
        <w:ind w:start="360"/>
        <w:ind w:firstLine="360"/>
      </w:pPr>
      <w:r>
        <w:rPr>
          <w:b/>
        </w:rPr>
        <w:t>2</w:t>
        <w:t xml:space="preserve">.  </w:t>
      </w:r>
      <w:r>
        <w:rPr>
          <w:b/>
        </w:rPr>
        <w:t>(TEXT EFFECTIVE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(TEXT EFFECTIVE 1/01/25)</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§6072-C. Limited-purpose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§6072-C. Limited-purpose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§6072-C. LIMITED-PURPOSE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