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Marine Shellfish Toxins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§6076. MARINE SHELLFISH TOXINS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