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6124</w:t>
        <w:t xml:space="preserve">.  </w:t>
      </w:r>
      <w:r>
        <w:rPr>
          <w:b/>
        </w:rPr>
        <w:t xml:space="preserve">Violations; penalty</w:t>
      </w:r>
    </w:p>
    <w:p>
      <w:pPr>
        <w:jc w:val="both"/>
        <w:spacing w:before="100" w:after="100"/>
        <w:ind w:start="360"/>
        <w:ind w:firstLine="360"/>
      </w:pPr>
      <w:r>
        <w:rPr/>
      </w:r>
      <w:r>
        <w:rPr/>
      </w:r>
      <w:r>
        <w:t xml:space="preserve">A person who improperly operates a fishway required pursuant to this subchapter commits a civil violation for which a forfeiture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PL 1999, c. 771, §B2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§6124.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§6124.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§6124.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