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Commissioner to keep records</w:t>
      </w:r>
    </w:p>
    <w:p>
      <w:pPr>
        <w:jc w:val="both"/>
        <w:spacing w:before="100" w:after="100"/>
        <w:ind w:start="360"/>
        <w:ind w:firstLine="360"/>
      </w:pPr>
      <w:r>
        <w:rPr/>
      </w:r>
      <w:r>
        <w:rPr/>
      </w:r>
      <w:r>
        <w:t xml:space="preserve">The commissioner shall collect and maintain criminal history record information pertinent to violations of </w:t>
      </w:r>
      <w:r>
        <w:t>chapters 601</w:t>
      </w:r>
      <w:r>
        <w:t xml:space="preserve"> to </w:t>
      </w:r>
      <w:r>
        <w:t>627</w:t>
      </w:r>
      <w:r>
        <w:t xml:space="preserve">.  The commissioner may collect and maintain other records and information pertinent to other functions of the department, including the enforcement of civil violations.</w:t>
      </w:r>
      <w:r>
        <w:t xml:space="preserve">  </w:t>
      </w:r>
      <w:r xmlns:wp="http://schemas.openxmlformats.org/drawingml/2010/wordprocessingDrawing" xmlns:w15="http://schemas.microsoft.com/office/word/2012/wordml">
        <w:rPr>
          <w:rFonts w:ascii="Arial" w:hAnsi="Arial" w:cs="Arial"/>
          <w:sz w:val="22"/>
          <w:szCs w:val="22"/>
        </w:rPr>
        <w:t xml:space="preserve">[RR 2021,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§1 (NEW). RR 2021, c. 2, Pt. B,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Commissioner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Commissioner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§6209. COMMISSIONER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