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§6521. DUMPING OF DEAD MARINE ANIMALS OR SCALED FINFISH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