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6523</w:t>
        <w:t xml:space="preserve">.  </w:t>
      </w:r>
      <w:r>
        <w:rPr>
          <w:b/>
        </w:rPr>
        <w:t xml:space="preserve">Marking ice fishing shacks</w:t>
      </w:r>
    </w:p>
    <w:p>
      <w:pPr>
        <w:jc w:val="both"/>
        <w:spacing w:before="100" w:after="100"/>
        <w:ind w:start="360"/>
        <w:ind w:firstLine="360"/>
      </w:pPr>
      <w:r>
        <w:rPr/>
      </w:r>
      <w:r>
        <w:rPr/>
      </w:r>
      <w:r>
        <w:t xml:space="preserve">A person may not place any shack or temporary structure used for ice fishing on the frozen territorial waters or use the shack or structure, unless the owner's name and address are painted or otherwise clearly marked on the outside with 2-inch letters.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272,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PL 2001, c. 272,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§6523. Marking ice 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§6523. Marking ice 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§6523. MARKING ICE 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