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§6729. License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 License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 LICENSE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