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§12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PL 2023, c. 646,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§685-A. Land use districts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§685-A. Land use districts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§685-A. LAND USE DISTRICTS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