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6</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state agencies, political subdivisions of this State or private persons for the establishment and maintenance of programs for the conservation of state endangered or state threatened marine species and may receive all federal funds allocated for obligations to the State pursuant to these agreements.  Federal funds received for the conservation of state endangered or state threatened marine species listed pursuant to this chapter must be allocated directly to the department to ensure compliance with any conditions of the listing.</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6.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6.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6.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