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175, §2 (AMD). PL 1999, c. 316, §1 (AMD). PL 2003, c. 113,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