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9706</w:t>
        <w:t xml:space="preserve">.  </w:t>
      </w:r>
      <w:r>
        <w:rPr>
          <w:b/>
        </w:rPr>
        <w:t xml:space="preserve">Jurisdiction for prosecutions</w:t>
      </w:r>
    </w:p>
    <w:p>
      <w:pPr>
        <w:jc w:val="both"/>
        <w:spacing w:before="100" w:after="100"/>
        <w:ind w:start="360"/>
        <w:ind w:firstLine="360"/>
      </w:pPr>
      <w:r>
        <w:rPr/>
      </w:r>
      <w:r>
        <w:rPr/>
      </w:r>
      <w:r>
        <w:t xml:space="preserve">The District Court shall have original and concurrent jurisdiction with the Superior Court in all prosecutions under this Part. Any person arrested as a violator may, with reasonable diligence, be taken before the District Court in the division nearest to where the offense is alleged to have been committed for a warrant and trial or to the District Court in adjoining divisions to the division, jurisdiction to be exercised in the same manner as if the offense had been committed in such division.</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If such person fails to appear in court on the day specified, either in person or by counsel, the court shall order the recognizance and money deposited forfeited and may take any other action considered necessary.</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174, §9 (AMD). PL 1989, c. 704,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§9706. Jurisdiction for prosecutions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§9706. Jurisdiction for prosecutions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§9706. JURISDICTION FOR PROSECUTIONS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