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Revival of nonprofit corporation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Revival of nonprofit corporation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§1117. REVIVAL OF NONPROFIT CORPORATION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