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carrying on activities in State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carrying on activities in State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§1214. EFFECT OF FOREIGN CORPORATION CARRYING ON ACTIVITIES IN STATE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