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Members' inspection of records of foreign corporations</w:t>
      </w:r>
    </w:p>
    <w:p>
      <w:pPr>
        <w:jc w:val="both"/>
        <w:spacing w:before="100" w:after="0"/>
        <w:ind w:start="360"/>
        <w:ind w:firstLine="360"/>
      </w:pPr>
      <w:r>
        <w:rPr>
          <w:b/>
        </w:rPr>
        <w:t>1</w:t>
        <w:t xml:space="preserve">.  </w:t>
      </w:r>
      <w:r>
        <w:rPr>
          <w:b/>
        </w:rPr>
        <w:t xml:space="preserve">Right to inspect corporate records.</w:t>
        <w:t xml:space="preserve"> </w:t>
      </w:r>
      <w:r>
        <w:t xml:space="preserve"> </w:t>
      </w:r>
      <w:r>
        <w:t xml:space="preserve">Every foreign corporation, authorized to carry on activities in this State and actually keeping or maintaining within this State any books or records, shall afford to its members the same right to inspect books and records kept or maintained in this State, including, but not limited to, records of members as is provided in this Act in the case of domestic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§1216. Members' inspection of records of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Members' inspection of records of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§1216. MEMBERS' INSPECTION OF RECORDS OF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