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domestic or foreign corporation that is required to deliver an annual report for filing, as provided by </w:t>
      </w:r>
      <w:r>
        <w:t>section 1301</w:t>
      </w:r>
      <w:r>
        <w:t xml:space="preserve">, that fails to deliver its properly completed annual report to the Secretary of State shall pay, in addition to the regular annual report fee, the late filing penalty described in </w:t>
      </w:r>
      <w:r>
        <w:t>section 1401, subsection 34</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carry on activities in this State and administratively dissolve a domestic corporation. The Secretary of State shall use the procedures set forth in </w:t>
      </w:r>
      <w:r>
        <w:t>section 1113</w:t>
      </w:r>
      <w:r>
        <w:t xml:space="preserve"> to administratively dissolve a domestic corporation and the procedures set forth in </w:t>
      </w:r>
      <w:r>
        <w:t>section 1210‑B</w:t>
      </w:r>
      <w:r>
        <w:t xml:space="preserve"> to revoke a foreign corporation's authority to carry on activities in this State.  A domestic corporation that has been administratively dissolved under </w:t>
      </w:r>
      <w:r>
        <w:t>section 1113</w:t>
      </w:r>
      <w:r>
        <w:t xml:space="preserve"> must follow the requirements set forth in </w:t>
      </w:r>
      <w:r>
        <w:t>section 1114</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of a domestic or foreign corporation delivered for filing does not conform with the requirements of </w:t>
      </w:r>
      <w:r>
        <w:t>section 1301</w:t>
      </w:r>
      <w:r>
        <w:t xml:space="preserve">, the Secretary of State may return the report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3</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1301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4</w:t>
        <w:t xml:space="preserve">.  </w:t>
      </w:r>
      <w:r>
        <w:rPr>
          <w:b/>
        </w:rPr>
        <w:t xml:space="preserve">Notice to Attorney General in case of public benefit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§290 (AMD). PL 1991, c. 780, §U19 (AMD). PL 1991, c. 837, §A40 (AMD). PL 1993, c. 349, §36 (RPR). PL 1999, c. 547, §B37 (AMD). PL 1999, c. 547, §B80 (AFF). PL 2001, c. 550, §C27 (AMD). PL 2001, c. 550, §C29 (AFF). PL 2003, c. 631,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§1302.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