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301-A</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201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w:t>
      </w:r>
      <w:r>
        <w:t>sections 104</w:t>
      </w:r>
      <w:r>
        <w:t xml:space="preserve"> and </w:t>
      </w:r>
      <w:r>
        <w:t>106</w:t>
      </w:r>
      <w:r>
        <w:t xml:space="preserve">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§10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§10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carry on activities in this State changes its corporate name to one that does not satisfy the requirements of this section, the foreign corporation may not carry on activities in this State under the proposed new name until it adopts a name satisfying the requirements of this section and files an amended application for authority under </w:t>
      </w:r>
      <w:r>
        <w:t>section 1207</w:t>
      </w:r>
      <w:r>
        <w:t xml:space="preserve"> that is accompanied by a statement of use of a fictitious name under </w:t>
      </w:r>
      <w:r>
        <w:t>section 308‑A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0"/>
        <w:ind w:start="360"/>
        <w:ind w:firstLine="360"/>
      </w:pPr>
      <w:r>
        <w:rPr>
          <w:b/>
        </w:rPr>
        <w:t>8</w:t>
        <w:t xml:space="preserve">.  </w:t>
      </w:r>
      <w:r>
        <w:rPr>
          <w:b/>
        </w:rPr>
        <w:t xml:space="preserve">Violations of this section.</w:t>
        <w:t xml:space="preserve"> </w:t>
      </w:r>
      <w:r>
        <w:t xml:space="preserve"> </w:t>
      </w:r>
      <w:r>
        <w:t xml:space="preserve">If a corporation has in other respects complied with this Title and its articles of incorporation have been filed, or if a foreign corporation has in other respects satisfied this Title and has been authorized to carry on activities in this State, subsequent discovery of a violation of the foregoing provisions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§B9 (NEW). PL 2005, c. 543, §D10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§301-A.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§301-A.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§301-A.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