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§308-A. Assumed or fictitious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§308-A. Assumed or fictitious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§308-A. ASSUMED OR FICTITIOUS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