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Right to amend articles of incorporation</w:t>
      </w:r>
    </w:p>
    <w:p>
      <w:pPr>
        <w:jc w:val="both"/>
        <w:spacing w:before="100" w:after="100"/>
        <w:ind w:start="360"/>
        <w:ind w:firstLine="360"/>
      </w:pPr>
      <w:r>
        <w:rPr/>
      </w:r>
      <w:r>
        <w:rPr/>
      </w:r>
      <w:r>
        <w:t xml:space="preserve">A corporation may amend its articles of incorporation from time to time in any and as many respects as may be desired, so long as its articles of incorporation, as amended, contain only such provisions as might lawfully be contained in original articles of incorporation on the effective date of such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Right to amend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Right to amend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§801. RIGHT TO AMEND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