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AMENDMENT OF ARTICLES OF INCORPORATION AND BYLAWS</w:t>
      </w:r>
    </w:p>
    <w:p>
      <w:pPr>
        <w:jc w:val="center"/>
        <w:ind w:start="360"/>
        <w:spacing w:before="300" w:after="300"/>
      </w:pPr>
      <w:r>
        <w:rPr>
          <w:b/>
        </w:rPr>
        <w:t>SUBCHAPTER</w:t>
        <w:t xml:space="preserve"> </w:t>
        <w:t>1</w:t>
      </w:r>
    </w:p>
    <w:p>
      <w:pPr>
        <w:jc w:val="center"/>
        <w:ind w:start="360"/>
        <w:spacing w:before="300" w:after="300"/>
      </w:pPr>
      <w:r>
        <w:rPr>
          <w:b/>
        </w:rPr>
        <w:t xml:space="preserve">AMENDMENT OF ARTICLES OF INCORPORATION</w:t>
      </w:r>
    </w:p>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AMENDMENT OF BYLAWS</w:t>
      </w:r>
    </w:p>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AMENDMENT OF ARTICLES OF INCORPORATION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AMENDMENT OF ARTICLES OF INCORPORATION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10. AMENDMENT OF ARTICLES OF INCORPORATION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