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INCORPORATION</w:t>
      </w:r>
    </w:p>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jc w:val="both"/>
        <w:spacing w:before="100" w:after="100"/>
        <w:ind w:start="1080" w:hanging="720"/>
      </w:pPr>
      <w:r>
        <w:rPr>
          <w:b/>
        </w:rPr>
        <w:t>§</w:t>
        <w:t>207</w:t>
        <w:t xml:space="preserve">.  </w:t>
      </w:r>
      <w:r>
        <w:rPr>
          <w:b/>
        </w:rPr>
        <w:t xml:space="preserve">Emergency bylaws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Emergency bylaws authorized.</w:t>
        <w:t xml:space="preserve"> </w:t>
      </w:r>
      <w:r>
        <w:t xml:space="preserve"> </w:t>
      </w:r>
      <w:r>
        <w:t xml:space="preserve">Unless the articles of incorporation provide otherwise, the board of directors of a corporation may adopt bylaws to be effective only in an emergency.  The emergency bylaws, which are subject to amendment or repeal by the shareholders, may make all provisions necessary for managing the corporation during an emergency, including:</w:t>
      </w:r>
    </w:p>
    <w:p>
      <w:pPr>
        <w:jc w:val="both"/>
        <w:spacing w:before="100" w:after="0"/>
        <w:ind w:start="720"/>
      </w:pPr>
      <w:r>
        <w:rPr/>
        <w:t>A</w:t>
        <w:t xml:space="preserve">.  </w:t>
      </w:r>
      <w:r>
        <w:rPr/>
      </w:r>
      <w:r>
        <w:t xml:space="preserve">Procedures for calling a meeting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Quorum requirements for a meeting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Designation of additional or substitute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nonemergency bylaws.</w:t>
        <w:t xml:space="preserve"> </w:t>
      </w:r>
      <w:r>
        <w:t xml:space="preserve"> </w:t>
      </w:r>
      <w:r>
        <w:t xml:space="preserve">All provisions of the regular bylaws that are consistent with the emergency bylaws remain effective during an emergency.  The emergency bylaws are not effective after the emergency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in accord with emergency bylaws.</w:t>
        <w:t xml:space="preserve"> </w:t>
      </w:r>
      <w:r>
        <w:t xml:space="preserve"> </w:t>
      </w:r>
      <w:r>
        <w:t xml:space="preserve">Corporate action taken in good faith in accordance with the emergency bylaws:</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2.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