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Other claims against dissolved corporation</w:t>
      </w:r>
    </w:p>
    <w:p>
      <w:pPr>
        <w:jc w:val="both"/>
        <w:spacing w:before="100" w:after="0"/>
        <w:ind w:start="360"/>
        <w:ind w:firstLine="360"/>
      </w:pPr>
      <w:r>
        <w:rPr>
          <w:b/>
        </w:rPr>
        <w:t>1</w:t>
        <w:t xml:space="preserve">.  </w:t>
      </w:r>
      <w:r>
        <w:rPr>
          <w:b/>
        </w:rPr>
        <w:t xml:space="preserve">Publish notice of dissolution.</w:t>
        <w:t xml:space="preserve"> </w:t>
      </w:r>
      <w:r>
        <w:t xml:space="preserve"> </w:t>
      </w:r>
      <w:r>
        <w:t xml:space="preserve">In addition to the written notice under </w:t>
      </w:r>
      <w:r>
        <w:t>section 1407</w:t>
      </w:r>
      <w:r>
        <w:t xml:space="preserve">, a dissolved corporation may publish notice of its dissolution and request that persons with claims against the dissolved corporation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notice.</w:t>
        <w:t xml:space="preserve"> </w:t>
      </w:r>
      <w:r>
        <w:t xml:space="preserve"> </w:t>
      </w:r>
      <w:r>
        <w:t xml:space="preserve">The notice under </w:t>
      </w:r>
      <w:r>
        <w:t>subsection 1</w:t>
      </w:r>
      <w:r>
        <w:t xml:space="preserve"> must:</w:t>
      </w:r>
    </w:p>
    <w:p>
      <w:pPr>
        <w:jc w:val="both"/>
        <w:spacing w:before="100" w:after="0"/>
        <w:ind w:start="720"/>
      </w:pPr>
      <w:r>
        <w:rPr/>
        <w:t>A</w:t>
        <w:t xml:space="preserve">.  </w:t>
      </w:r>
      <w:r>
        <w:rPr/>
      </w:r>
      <w:r>
        <w:t xml:space="preserve">Be published one time in a newspaper of general circulation in the county where the dissolved corporation's principal office is or was last located or, if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C, §18 (AMD); PL 2007, c. 323, Pt. G, §4 (AFF).]</w:t>
      </w:r>
    </w:p>
    <w:p>
      <w:pPr>
        <w:jc w:val="both"/>
        <w:spacing w:before="100" w:after="0"/>
        <w:ind w:start="720"/>
      </w:pPr>
      <w:r>
        <w:rPr/>
        <w:t>B</w:t>
        <w:t xml:space="preserve">.  </w:t>
      </w:r>
      <w:r>
        <w:rPr/>
      </w:r>
      <w:r>
        <w:t xml:space="preserve">Describe the information that must be included in a claim and provide a mailing address where the claim may be sent;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a claim against the dissolved corporation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§26 (COR).]</w:t>
      </w:r>
    </w:p>
    <w:p>
      <w:pPr>
        <w:jc w:val="both"/>
        <w:spacing w:before="100" w:after="100"/>
        <w:ind w:start="360"/>
        <w:ind w:firstLine="360"/>
      </w:pPr>
      <w:r>
        <w:rPr>
          <w:b/>
        </w:rPr>
        <w:t>3</w:t>
        <w:t xml:space="preserve">.  </w:t>
      </w:r>
      <w:r>
        <w:rPr>
          <w:b/>
        </w:rPr>
        <w:t xml:space="preserve">Claim barred.</w:t>
        <w:t xml:space="preserve"> </w:t>
      </w:r>
      <w:r>
        <w:t xml:space="preserve"> </w:t>
      </w:r>
      <w:r>
        <w:t xml:space="preserve">If the dissolved corporation publishes a newspaper notice in accordance with </w:t>
      </w:r>
      <w:r>
        <w:t>subsection 2</w:t>
      </w:r>
      <w:r>
        <w:t xml:space="preserve">, the claim of each of the following claimants is barred unless the claimant commences a proceeding to enforce the claim against the dissolved corporation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claimant whose claim was timely sent to the dissolved corporation but not acted 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claimant whose claim is contingent or is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§23 (AMD).]</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by </w:t>
      </w:r>
      <w:r>
        <w:t>subsection 3</w:t>
      </w:r>
      <w:r>
        <w:t xml:space="preserve"> or </w:t>
      </w:r>
      <w:r>
        <w:t>section 1407, subsection 2</w:t>
      </w:r>
      <w:r>
        <w:t xml:space="preserve"> may be enforced:</w:t>
      </w:r>
    </w:p>
    <w:p>
      <w:pPr>
        <w:jc w:val="both"/>
        <w:spacing w:before="100" w:after="0"/>
        <w:ind w:start="720"/>
      </w:pPr>
      <w:r>
        <w:rPr/>
        <w:t>A</w:t>
        <w:t xml:space="preserve">.  </w:t>
      </w:r>
      <w:r>
        <w:rPr/>
      </w:r>
      <w:r>
        <w:t xml:space="preserve">Against the dissolved corporation to the extent of its undistributed assets;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1409, subsection 4</w:t>
      </w:r>
      <w:r>
        <w:t xml:space="preserve">, if the assets have been distributed in liquidation, against a shareholder of the dissolved corporation to the extent of the shareholder's pro rata share of the claim or the corporate assets distributed to the shareholder in liquidation, whichever is less, but a shareholder's total liability for all claims under this section may not exceed the total amount of assets distributed to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§23 (AMD). PL 2007, c. 323, Pt. C, §18 (AMD). PL 2007, c. 323, Pt. G, §4 (AMD). RR 2021, c. 2, Pt. A,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Other claims against dissolved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Other claims against dissolved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§1408. OTHER CLAIMS AGAINST DISSOLVED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