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 Grounds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Grounds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§1430. GROUNDS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