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Consequences of transacting business without authority</w:t>
      </w:r>
    </w:p>
    <w:p>
      <w:pPr>
        <w:jc w:val="both"/>
        <w:spacing w:before="100" w:after="0"/>
        <w:ind w:start="360"/>
        <w:ind w:firstLine="360"/>
      </w:pPr>
      <w:r>
        <w:rPr>
          <w:b/>
        </w:rPr>
        <w:t>1</w:t>
        <w:t xml:space="preserve">.  </w:t>
      </w:r>
      <w:r>
        <w:rPr>
          <w:b/>
        </w:rPr>
        <w:t xml:space="preserve">No court proceeding.</w:t>
        <w:t xml:space="preserve"> </w:t>
      </w:r>
      <w:r>
        <w:t xml:space="preserve"> </w:t>
      </w:r>
      <w:r>
        <w:t xml:space="preserve">A foreign corporation transacting business in this State without authority may not maintain a proceeding in any court in this State until it files an application for authority and pays the applicable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Successor; assignee of cause of action.</w:t>
        <w:t xml:space="preserve"> </w:t>
      </w:r>
      <w:r>
        <w:t xml:space="preserve"> </w:t>
      </w:r>
      <w:r>
        <w:t xml:space="preserve">The successor to a foreign corporation that transacted business in this State without authority and the assignee of a cause of action arising out of that business may not maintain a proceeding based on that cause of action in any court in this State until the foreign corporation or its successor files an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Stay proceeding.</w:t>
        <w:t xml:space="preserve"> </w:t>
      </w:r>
      <w:r>
        <w:t xml:space="preserve"> </w:t>
      </w:r>
      <w:r>
        <w:t xml:space="preserve">A court may stay a proceeding commenced by a foreign corporation, its successor or assignee until the court determines whether the foreign corporation or its successor requires authorization. If the court so determines, the court may further stay the proceeding until the foreign corporation or its successor files an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Civil penalty.</w:t>
        <w:t xml:space="preserve"> </w:t>
      </w:r>
      <w:r>
        <w:t xml:space="preserve"> </w:t>
      </w:r>
      <w:r>
        <w:t xml:space="preserve">A foreign corporation is liable for a civil penalty of $500 for each year, or portion thereof, it transacts business in this State without authority. The Attorney General may collect all penalties due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Validity of corporate acts.</w:t>
        <w:t xml:space="preserve"> </w:t>
      </w:r>
      <w:r>
        <w:t xml:space="preserve"> </w:t>
      </w:r>
      <w:r>
        <w:t xml:space="preserve">Notwithstanding </w:t>
      </w:r>
      <w:r>
        <w:t>subsections 1</w:t>
      </w:r>
      <w:r>
        <w:t xml:space="preserve"> and </w:t>
      </w:r>
      <w:r>
        <w:t>2</w:t>
      </w:r>
      <w:r>
        <w:t xml:space="preserve">, the failure of a foreign corporation to file an application for authority does not impair the validity of its corporate acts, including contracts, or prevent it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Consequences of transacting business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Consequences of transacting business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§1502. CONSEQUENCES OF TRANSACTING BUSINESS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