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Withdrawal upon conversion to a nonfiling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Withdrawal upon conversion to a nonfiling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§1523. WITHDRAWAL UPON CONVERSION TO A NONFILING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