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§1602. INSPECTION OF RECORDS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