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1803</w:t>
        <w:t xml:space="preserve">.  </w:t>
      </w:r>
      <w:r>
        <w:rPr>
          <w:b/>
        </w:rPr>
        <w:t xml:space="preserve">Incorporation of benefit corporation</w:t>
      </w:r>
    </w:p>
    <w:p>
      <w:pPr>
        <w:jc w:val="both"/>
        <w:spacing w:before="100" w:after="100"/>
        <w:ind w:start="360"/>
        <w:ind w:firstLine="360"/>
      </w:pPr>
      <w:r>
        <w:rPr/>
      </w:r>
      <w:r>
        <w:rPr/>
      </w:r>
      <w:r>
        <w:t xml:space="preserve">A benefit corporation must be incorporated in accordance with </w:t>
      </w:r>
      <w:r>
        <w:t>chapter 2</w:t>
      </w:r>
      <w:r>
        <w:t xml:space="preserve">, and its articles of incorporation must state that it is a benefit corporation.</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§1803. Incorporation of benefit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§1803. Incorporation of benefit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§1803. INCORPORATION OF BENEFIT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