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Ultra vires</w:t>
      </w:r>
    </w:p>
    <w:p>
      <w:pPr>
        <w:jc w:val="both"/>
        <w:spacing w:before="100" w:after="0"/>
        <w:ind w:start="360"/>
        <w:ind w:firstLine="360"/>
      </w:pPr>
      <w:r>
        <w:rPr>
          <w:b/>
        </w:rPr>
        <w:t>1</w:t>
        <w:t xml:space="preserve">.  </w:t>
      </w:r>
      <w:r>
        <w:rPr>
          <w:b/>
        </w:rPr>
        <w:t xml:space="preserve">Corporate action not subject to challenge.</w:t>
        <w:t xml:space="preserve"> </w:t>
      </w:r>
      <w:r>
        <w:t xml:space="preserve"> </w:t>
      </w:r>
      <w:r>
        <w:t xml:space="preserve">Except as provided in </w:t>
      </w:r>
      <w:r>
        <w:t>subsection 2</w:t>
      </w:r>
      <w:r>
        <w:t xml:space="preserve">, the validity of corporate action may not be challenged on the ground that the corporation lacks or lacked power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Corporate action subject to challenge.</w:t>
        <w:t xml:space="preserve"> </w:t>
      </w:r>
      <w:r>
        <w:t xml:space="preserve"> </w:t>
      </w:r>
      <w:r>
        <w:t xml:space="preserve">A corporation's power to act may be challenged:</w:t>
      </w:r>
    </w:p>
    <w:p>
      <w:pPr>
        <w:jc w:val="both"/>
        <w:spacing w:before="100" w:after="0"/>
        <w:ind w:start="720"/>
      </w:pPr>
      <w:r>
        <w:rPr/>
        <w:t>A</w:t>
        <w:t xml:space="preserve">.  </w:t>
      </w:r>
      <w:r>
        <w:rPr/>
      </w:r>
      <w:r>
        <w:t xml:space="preserve">In a proceeding by a shareholder against the corporation to enjoin the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proceeding by the corporation, directly, derivatively or through a receiver, trustee or other legal representative against an incumbent or former director, officer, employee or agent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proceeding by the Attorney General under </w:t>
      </w:r>
      <w:r>
        <w:t>section 1430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Available remedies in proceeding by shareholder.</w:t>
        <w:t xml:space="preserve"> </w:t>
      </w:r>
      <w:r>
        <w:t xml:space="preserve"> </w:t>
      </w:r>
      <w:r>
        <w:t xml:space="preserve">In a shareholder's proceeding under </w:t>
      </w:r>
      <w:r>
        <w:t>subsection 2, paragraph A</w:t>
      </w:r>
      <w:r>
        <w:t xml:space="preserve">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Ultra vires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Ultra vires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§304. ULTRA VIRES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