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301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§45 (AMD).]</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or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§11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§11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transact business in this State changes its corporate name to one that does not satisfy the requirements of this section, the foreign corporation may not transact business in this State under the proposed new name until it adopts a name satisfying the requirements of this section and files an amended application for authority under </w:t>
      </w:r>
      <w:r>
        <w:t>section 1504</w:t>
      </w:r>
      <w:r>
        <w:t xml:space="preserve"> that is accompanied by a statement of use of a fictitious name under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§§B45-47 (AMD). PL 2005, c. 543, §D11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