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Registered name of foreign corporation</w:t>
      </w:r>
    </w:p>
    <w:p>
      <w:pPr>
        <w:jc w:val="both"/>
        <w:spacing w:before="100" w:after="0"/>
        <w:ind w:start="360"/>
        <w:ind w:firstLine="360"/>
      </w:pPr>
      <w:r>
        <w:rPr>
          <w:b/>
        </w:rPr>
        <w:t>1</w:t>
        <w:t xml:space="preserve">.  </w:t>
      </w:r>
      <w:r>
        <w:rPr>
          <w:b/>
        </w:rPr>
        <w:t xml:space="preserve">Register corporate name.</w:t>
        <w:t xml:space="preserve"> </w:t>
      </w:r>
      <w:r>
        <w:t xml:space="preserve"> </w:t>
      </w:r>
      <w:r>
        <w:t xml:space="preserve">A foreign corporation may register its corporate name if the name is distinguishable on the records of the Secretary of State pursuant to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corporate name a foreign corporation must deliver to the Secretary of State for filing an application that:</w:t>
      </w:r>
    </w:p>
    <w:p>
      <w:pPr>
        <w:jc w:val="both"/>
        <w:spacing w:before="100" w:after="0"/>
        <w:ind w:start="720"/>
      </w:pPr>
      <w:r>
        <w:rPr/>
        <w:t>A</w:t>
        <w:t xml:space="preserve">.  </w:t>
      </w:r>
      <w:r>
        <w:rPr/>
      </w:r>
      <w:r>
        <w:t xml:space="preserve">Sets forth its corporate name, the state or country and date of its incorporation, the address of its principal office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§48 (AMD).]</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The corporate name is registered for the foreign corporation's exclusive use upon the effective date of the application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corporation whose registration is effective may renew it for a successive year by delivering for filing to the Secretary of State a renewal application that complies with the requirements of </w:t>
      </w:r>
      <w:r>
        <w:t>subsection 2</w:t>
      </w:r>
      <w:r>
        <w:t xml:space="preserve"> between October 1st and December 31st.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Qualify as foreign corporation.</w:t>
        <w:t xml:space="preserve"> </w:t>
      </w:r>
      <w:r>
        <w:t xml:space="preserve"> </w:t>
      </w:r>
      <w:r>
        <w:t xml:space="preserve">A foreign corporation whose registration is effective may, after the registration is effective, qualify as a foreign corporation under the registered name or may consent in writing to the use of that name by a corporation subject to this Act or by another foreign corporation authorized to transact business in this State.  The registration terminates when the domestic corporation is incorporated or the foreign corporation qualifies or consents to the qualification of another foreign corporation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§§B48,49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Registered name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Registered name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§403. REGISTERED NAME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