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Issuance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Issuance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§622. ISSUANCE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