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Number and election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Number and election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§803. NUMBER AND ELECTION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