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Submission of matters for shareholder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§827. SUBMISSION OF MATTERS FOR SHAREHOLDER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