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Director's liability for unlawful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Director's liability for unlawful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§833. DIRECTOR'S LIABILITY FOR UNLAWFUL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