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FIDUCIARY SECURITY TRANSFERS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jc w:val="both"/>
        <w:spacing w:before="100" w:after="100"/>
        <w:ind w:start="1080" w:hanging="720"/>
      </w:pPr>
      <w:r>
        <w:rPr>
          <w:b/>
        </w:rPr>
        <w:t>§</w:t>
        <w:t>643</w:t>
        <w:t xml:space="preserve">.  </w:t>
      </w:r>
      <w:r>
        <w:rPr>
          <w:b/>
        </w:rPr>
        <w:t xml:space="preserve">Inquiry into fiduciary relationship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648</w:t>
        <w:t xml:space="preserve">.  </w:t>
      </w:r>
      <w:r>
        <w:rPr>
          <w:b/>
        </w:rPr>
        <w:t xml:space="preserve">Nonliability of 3rd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649</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FIDUCIARY SECURITY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FIDUCIARY SECURITY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21. FIDUCIARY SECURITY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