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UNIFORM MANAGEMENT OF INSTITUTIONAL FUNDS ACT</w:t>
      </w:r>
    </w:p>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UNIFORM MANAGEMENT OF INSTITUTIONAL FUNDS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UNIFORM MANAGEMENT OF INSTITUTIONAL FUNDS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97. UNIFORM MANAGEMENT OF INSTITUTIONAL FUNDS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