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Vested rights</w:t>
      </w:r>
    </w:p>
    <w:p>
      <w:pPr>
        <w:jc w:val="both"/>
        <w:spacing w:before="100" w:after="100"/>
        <w:ind w:start="360"/>
        <w:ind w:firstLine="360"/>
      </w:pPr>
      <w:r>
        <w:rPr/>
      </w:r>
      <w:r>
        <w:rPr/>
      </w:r>
      <w:r>
        <w:t xml:space="preserve">This chapter shall not be construed as affecting any vested rights of any cemetery association or other agency owning, maintaining and operating a cemetery or crematory immediately prior to July 24, 1937. Insofar as this chapter does not violate any such vested rights, it shall, except as otherwise provided, apply to all such cemetery associations or other agencies.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§1033.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§1033.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