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1034</w:t>
        <w:t xml:space="preserve">.  </w:t>
      </w:r>
      <w:r>
        <w:rPr>
          <w:b/>
        </w:rPr>
        <w:t xml:space="preserve">Jurisdiction</w:t>
      </w:r>
    </w:p>
    <w:p>
      <w:pPr>
        <w:jc w:val="both"/>
        <w:spacing w:before="100" w:after="100"/>
        <w:ind w:start="360"/>
        <w:ind w:firstLine="360"/>
      </w:pPr>
      <w:r>
        <w:rPr/>
      </w:r>
      <w:r>
        <w:rPr/>
      </w:r>
      <w:r>
        <w:t xml:space="preserve">The Superior Court has original and concurrent jurisdiction in all cases under this chapter. Judges of the District Court may cause the persons brought before them on complaint for violation of </w:t>
      </w:r>
      <w:r>
        <w:t>section 1342</w:t>
      </w:r>
      <w:r>
        <w:t xml:space="preserve"> or </w:t>
      </w:r>
      <w:r>
        <w:t>1343</w:t>
      </w:r>
      <w:r>
        <w:t xml:space="preserve"> to recognize with sufficient sureties to appear at the next term of the Superior Court and, in default thereof, shall commit them.</w:t>
      </w:r>
      <w:r>
        <w:t xml:space="preserve">  </w:t>
      </w:r>
      <w:r xmlns:wp="http://schemas.openxmlformats.org/drawingml/2010/wordprocessingDrawing" xmlns:w15="http://schemas.microsoft.com/office/word/2012/wordml">
        <w:rPr>
          <w:rFonts w:ascii="Arial" w:hAnsi="Arial" w:cs="Arial"/>
          <w:sz w:val="22"/>
          <w:szCs w:val="22"/>
        </w:rPr>
        <w:t xml:space="preserve">[RR 2021, c. 2, Pt. A,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§1034.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§1034.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§1034.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