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§1101-D. Unorganized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§1101-D. Unorganized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§1101-D. UNORGANIZED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