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§1371-A. Limitations on construction and excavation near burial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§1371-A. Limitations on construction and excavation near burial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§1371-A. LIMITATIONS ON CONSTRUCTION AND EXCAVATION NEAR BURIAL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