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Meetings</w:t>
      </w:r>
    </w:p>
    <w:p>
      <w:pPr>
        <w:jc w:val="both"/>
        <w:spacing w:before="100" w:after="100"/>
        <w:ind w:start="360"/>
        <w:ind w:firstLine="360"/>
      </w:pPr>
      <w:r>
        <w:rPr/>
      </w:r>
      <w:r>
        <w:rPr/>
      </w:r>
      <w:r>
        <w:t xml:space="preserve">Regular meetings shall be held as prescribed in the bylaws, but shall be held at least once a year. Special meetings may be demanded by a majority vote of the directors or by written petition of at least 3/10 of the membership, in which case it shall be the duty of the secretary to call such meeting to take place within 30 days after such demand.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§1556.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§1556.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