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One member, one vote</w:t>
      </w:r>
    </w:p>
    <w:p>
      <w:pPr>
        <w:jc w:val="both"/>
        <w:spacing w:before="100" w:after="100"/>
        <w:ind w:start="360"/>
        <w:ind w:firstLine="360"/>
      </w:pPr>
      <w:r>
        <w:rPr/>
      </w:r>
      <w:r>
        <w:rPr/>
      </w:r>
      <w:r>
        <w:t xml:space="preserve">Each member of an association shall have one and only one vote, except that where an association includes among its members any number of other associations or groups organized on a cooperative basis, the voting rights of such member associations or groups may be as prescribed in the articles or bylaws.</w:t>
      </w:r>
    </w:p>
    <w:p>
      <w:pPr>
        <w:jc w:val="both"/>
        <w:spacing w:before="100" w:after="100"/>
        <w:ind w:start="360"/>
        <w:ind w:firstLine="360"/>
      </w:pPr>
      <w:r>
        <w:rPr/>
      </w:r>
      <w:r>
        <w:rPr/>
      </w:r>
      <w:r>
        <w:t xml:space="preserve">No voting agreement or other device to evade the one-member-one-vote rule shall be enforceable by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One member, one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One member, one vote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§1601. ONE MEMBER, ONE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