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Proprietary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Proprietary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§1755. PROPRIETARY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