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§1827. General and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General and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§1827. GENERAL AND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