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Certificates; transfers; dividends;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Certificates; transfers; dividends;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§1912. CERTIFICATES; TRANSFERS; DIVIDENDS;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