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Application of other laws</w:t>
      </w:r>
    </w:p>
    <w:p>
      <w:pPr>
        <w:jc w:val="both"/>
        <w:spacing w:before="100" w:after="100"/>
        <w:ind w:start="360"/>
        <w:ind w:firstLine="360"/>
      </w:pPr>
      <w:r>
        <w:rPr/>
      </w:r>
      <w:r>
        <w:rPr/>
      </w:r>
      <w:r>
        <w:t xml:space="preserve">Except as otherwise provided in this subchapter, employee cooperative corporations are governed by </w:t>
      </w:r>
      <w:r>
        <w:t>Title 13‑C</w:t>
      </w:r>
      <w:r>
        <w:t xml:space="preserve">,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[RR 2001, c. 2, Pt. B, §30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§B30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§1973. Application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Application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§1973. APPLICATION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