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General corporation law; applicability</w:t>
      </w:r>
    </w:p>
    <w:p>
      <w:pPr>
        <w:jc w:val="both"/>
        <w:spacing w:before="100" w:after="100"/>
        <w:ind w:start="360"/>
        <w:ind w:firstLine="360"/>
      </w:pPr>
      <w:r>
        <w:rPr/>
      </w:r>
      <w:r>
        <w:rPr/>
      </w:r>
      <w:r>
        <w:t xml:space="preserve">The provisions of the general laws relating to business corporations and all powers and rights thereunder, apply to associations, except where such provisions are in conflict with or inconsistent with the express provisions of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General corporation law;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General corporation law;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§2005. GENERAL CORPORATION LAW;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