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2054</w:t>
        <w:t xml:space="preserve">.  </w:t>
      </w:r>
      <w:r>
        <w:rPr>
          <w:b/>
        </w:rPr>
        <w:t xml:space="preserve">Shares; number; par value</w:t>
      </w:r>
    </w:p>
    <w:p>
      <w:pPr>
        <w:jc w:val="both"/>
        <w:spacing w:before="100" w:after="100"/>
        <w:ind w:start="360"/>
        <w:ind w:firstLine="360"/>
      </w:pPr>
      <w:r>
        <w:rPr/>
      </w:r>
      <w:r>
        <w:rPr/>
      </w:r>
      <w:r>
        <w:t xml:space="preserve">If the association is organized with shares of stock, the articles shall state the number of shares which may be issued and if the shares are to have a par value, the par value of each share, and the aggregate par value of all shares; and if the shares are to be without par value, it shall be so stated.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§2054. Shares; number; par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§2054. Shares; number; par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§2054. SHARES; NUMBER; PAR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