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2196</w:t>
        <w:t xml:space="preserve">.  </w:t>
      </w:r>
      <w:r>
        <w:rPr>
          <w:b/>
        </w:rPr>
        <w:t xml:space="preserve">Nonpar issuance</w:t>
      </w:r>
    </w:p>
    <w:p>
      <w:pPr>
        <w:jc w:val="both"/>
        <w:spacing w:before="100" w:after="100"/>
        <w:ind w:start="360"/>
        <w:ind w:firstLine="360"/>
      </w:pPr>
      <w:r>
        <w:rPr/>
      </w:r>
      <w:r>
        <w:rPr/>
      </w:r>
      <w:r>
        <w:t xml:space="preserve">If an association issues nonpar value stock the issue of such stock shall be governed by the laws regulating the issuance of nonpar value stock in domestic corporations.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§2196. Nonpar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§2196. Nonpar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§2196. NONPAR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