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2235</w:t>
        <w:t xml:space="preserve">.  </w:t>
      </w:r>
      <w:r>
        <w:rPr>
          <w:b/>
        </w:rPr>
        <w:t xml:space="preserve">Stocks and bonds; acquisition and ownership</w:t>
      </w:r>
    </w:p>
    <w:p>
      <w:pPr>
        <w:jc w:val="both"/>
        <w:spacing w:before="100" w:after="100"/>
        <w:ind w:start="360"/>
        <w:ind w:firstLine="360"/>
      </w:pPr>
      <w:r>
        <w:rPr/>
      </w:r>
      <w:r>
        <w:rPr/>
      </w:r>
      <w:r>
        <w:t xml:space="preserve">An association may purchase or otherwise acquire, hold, own and exercise all rights of ownership in, sell, transfer or pledge the payments of dividends or interest on, or the retirement or redemption of, such shares of the capital stock or bonds of any corporation or association engaged in any related activity or in the warehousing or handling or marketing or packing or manufacturing or processing or preparing for market of any of the fishery products handled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§2235. Stocks and bonds; acquisition and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§2235. Stocks and bonds; acquisition and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§2235. STOCKS AND BONDS; ACQUISITION AND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